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ACF" w:rsidRDefault="00E53977">
      <w:r w:rsidRPr="00E53977">
        <w:drawing>
          <wp:inline distT="0" distB="0" distL="0" distR="0" wp14:anchorId="3FC8482D" wp14:editId="1866C44A">
            <wp:extent cx="5943600" cy="3576320"/>
            <wp:effectExtent l="0" t="0" r="0" b="508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536ED66-B034-44E6-8F75-C7D92658061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53977" w:rsidRDefault="00E53977" w:rsidP="00E53977">
      <w:pPr>
        <w:pStyle w:val="ListParagraph"/>
        <w:numPr>
          <w:ilvl w:val="0"/>
          <w:numId w:val="1"/>
        </w:numPr>
      </w:pPr>
      <w:proofErr w:type="spellStart"/>
      <w:r>
        <w:t>Պետությունները</w:t>
      </w:r>
      <w:proofErr w:type="spellEnd"/>
      <w:r>
        <w:t xml:space="preserve">, </w:t>
      </w:r>
      <w:proofErr w:type="spellStart"/>
      <w:r>
        <w:t>որոնք</w:t>
      </w:r>
      <w:proofErr w:type="spellEnd"/>
      <w:r>
        <w:t xml:space="preserve"> </w:t>
      </w:r>
      <w:proofErr w:type="spellStart"/>
      <w:r>
        <w:t>օգտագործել</w:t>
      </w:r>
      <w:proofErr w:type="spellEnd"/>
      <w:r>
        <w:t xml:space="preserve"> </w:t>
      </w:r>
      <w:proofErr w:type="spellStart"/>
      <w:r>
        <w:t>են</w:t>
      </w:r>
      <w:proofErr w:type="spellEnd"/>
      <w:r>
        <w:t xml:space="preserve"> </w:t>
      </w:r>
      <w:proofErr w:type="spellStart"/>
      <w:r>
        <w:t>Բուդապեշտի</w:t>
      </w:r>
      <w:proofErr w:type="spellEnd"/>
      <w:r>
        <w:t xml:space="preserve"> </w:t>
      </w:r>
      <w:proofErr w:type="spellStart"/>
      <w:r>
        <w:t>Կոնվենցիան</w:t>
      </w:r>
      <w:proofErr w:type="spellEnd"/>
      <w:r>
        <w:t xml:space="preserve"> </w:t>
      </w:r>
      <w:proofErr w:type="spellStart"/>
      <w:r>
        <w:t>որպես</w:t>
      </w:r>
      <w:proofErr w:type="spellEnd"/>
      <w:r>
        <w:t xml:space="preserve"> </w:t>
      </w:r>
      <w:proofErr w:type="spellStart"/>
      <w:r>
        <w:t>բարեփոխումների</w:t>
      </w:r>
      <w:proofErr w:type="spellEnd"/>
      <w:r>
        <w:t xml:space="preserve"> </w:t>
      </w:r>
      <w:proofErr w:type="spellStart"/>
      <w:r>
        <w:t>ուղեցույց</w:t>
      </w:r>
      <w:proofErr w:type="spellEnd"/>
    </w:p>
    <w:p w:rsidR="00E53977" w:rsidRDefault="00E53977" w:rsidP="00E53977">
      <w:pPr>
        <w:pStyle w:val="ListParagraph"/>
        <w:numPr>
          <w:ilvl w:val="0"/>
          <w:numId w:val="1"/>
        </w:numPr>
      </w:pPr>
      <w:proofErr w:type="spellStart"/>
      <w:r>
        <w:t>Պետություններ</w:t>
      </w:r>
      <w:proofErr w:type="spellEnd"/>
      <w:r w:rsidRPr="00E53977">
        <w:t xml:space="preserve"> </w:t>
      </w:r>
      <w:proofErr w:type="spellStart"/>
      <w:r>
        <w:t>որոնք</w:t>
      </w:r>
      <w:proofErr w:type="spellEnd"/>
      <w:r>
        <w:t xml:space="preserve"> </w:t>
      </w:r>
      <w:proofErr w:type="spellStart"/>
      <w:r>
        <w:t>չեն</w:t>
      </w:r>
      <w:proofErr w:type="spellEnd"/>
      <w:r>
        <w:t xml:space="preserve"> </w:t>
      </w:r>
      <w:proofErr w:type="spellStart"/>
      <w:r>
        <w:t>օգտագործել</w:t>
      </w:r>
      <w:proofErr w:type="spellEnd"/>
      <w:r>
        <w:t xml:space="preserve"> </w:t>
      </w:r>
      <w:proofErr w:type="spellStart"/>
      <w:r>
        <w:t>Բուդապեշտի</w:t>
      </w:r>
      <w:proofErr w:type="spellEnd"/>
      <w:r>
        <w:t xml:space="preserve"> </w:t>
      </w:r>
      <w:proofErr w:type="spellStart"/>
      <w:r>
        <w:t>Կոնվենցիան</w:t>
      </w:r>
      <w:proofErr w:type="spellEnd"/>
      <w:r>
        <w:t xml:space="preserve"> </w:t>
      </w:r>
      <w:proofErr w:type="spellStart"/>
      <w:r>
        <w:t>որպես</w:t>
      </w:r>
      <w:proofErr w:type="spellEnd"/>
      <w:r>
        <w:t xml:space="preserve"> </w:t>
      </w:r>
      <w:proofErr w:type="spellStart"/>
      <w:r>
        <w:t>բարեփոխումների</w:t>
      </w:r>
      <w:proofErr w:type="spellEnd"/>
      <w:r>
        <w:t xml:space="preserve"> </w:t>
      </w:r>
      <w:proofErr w:type="spellStart"/>
      <w:r>
        <w:t>ուղեցույց</w:t>
      </w:r>
      <w:proofErr w:type="spellEnd"/>
    </w:p>
    <w:p w:rsidR="00E53977" w:rsidRDefault="00E53977" w:rsidP="00E53977">
      <w:pPr>
        <w:ind w:left="360"/>
      </w:pPr>
      <w:bookmarkStart w:id="0" w:name="_GoBack"/>
      <w:bookmarkEnd w:id="0"/>
    </w:p>
    <w:sectPr w:rsidR="00E539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17A37"/>
    <w:multiLevelType w:val="hybridMultilevel"/>
    <w:tmpl w:val="93804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EE5"/>
    <w:rsid w:val="003B5ACF"/>
    <w:rsid w:val="00694EE5"/>
    <w:rsid w:val="00E5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86B8B"/>
  <w15:chartTrackingRefBased/>
  <w15:docId w15:val="{78F07787-6EDE-4F1A-87FB-056F9813E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62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Sylfaen" panose="010A0502050306030303" pitchFamily="18" charset="0"/>
                <a:ea typeface="+mn-ea"/>
                <a:cs typeface="+mn-cs"/>
              </a:defRPr>
            </a:pPr>
            <a:r>
              <a:rPr lang="en-US" sz="2800" b="0" dirty="0" err="1" smtClean="0">
                <a:solidFill>
                  <a:schemeClr val="tx1"/>
                </a:solidFill>
                <a:latin typeface="Sylfaen" panose="010A0502050306030303" pitchFamily="18" charset="0"/>
              </a:rPr>
              <a:t>Այն</a:t>
            </a:r>
            <a:r>
              <a:rPr lang="en-US" sz="2800" b="0" dirty="0" smtClean="0">
                <a:solidFill>
                  <a:schemeClr val="tx1"/>
                </a:solidFill>
                <a:latin typeface="Sylfaen" panose="010A0502050306030303" pitchFamily="18" charset="0"/>
              </a:rPr>
              <a:t> </a:t>
            </a:r>
            <a:r>
              <a:rPr lang="en-US" sz="2800" b="0" dirty="0" err="1" smtClean="0">
                <a:solidFill>
                  <a:schemeClr val="tx1"/>
                </a:solidFill>
                <a:latin typeface="Sylfaen" panose="010A0502050306030303" pitchFamily="18" charset="0"/>
              </a:rPr>
              <a:t>պետությունները</a:t>
            </a:r>
            <a:r>
              <a:rPr lang="en-US" sz="2800" b="0" dirty="0" smtClean="0">
                <a:solidFill>
                  <a:schemeClr val="tx1"/>
                </a:solidFill>
                <a:latin typeface="Sylfaen" panose="010A0502050306030303" pitchFamily="18" charset="0"/>
              </a:rPr>
              <a:t>, </a:t>
            </a:r>
            <a:r>
              <a:rPr lang="en-US" sz="2800" b="0" dirty="0" err="1" smtClean="0">
                <a:solidFill>
                  <a:schemeClr val="tx1"/>
                </a:solidFill>
                <a:latin typeface="Sylfaen" panose="010A0502050306030303" pitchFamily="18" charset="0"/>
              </a:rPr>
              <a:t>որոնք</a:t>
            </a:r>
            <a:r>
              <a:rPr lang="en-US" sz="2800" b="0" baseline="0" dirty="0" smtClean="0">
                <a:solidFill>
                  <a:schemeClr val="tx1"/>
                </a:solidFill>
                <a:latin typeface="Sylfaen" panose="010A0502050306030303" pitchFamily="18" charset="0"/>
              </a:rPr>
              <a:t> </a:t>
            </a:r>
            <a:r>
              <a:rPr lang="en-US" sz="2800" b="0" baseline="0" dirty="0" err="1" smtClean="0">
                <a:solidFill>
                  <a:schemeClr val="tx1"/>
                </a:solidFill>
                <a:latin typeface="Sylfaen" panose="010A0502050306030303" pitchFamily="18" charset="0"/>
              </a:rPr>
              <a:t>Բուդապեշտի</a:t>
            </a:r>
            <a:r>
              <a:rPr lang="en-US" sz="2800" b="0" baseline="0" dirty="0" smtClean="0">
                <a:solidFill>
                  <a:schemeClr val="tx1"/>
                </a:solidFill>
                <a:latin typeface="Sylfaen" panose="010A0502050306030303" pitchFamily="18" charset="0"/>
              </a:rPr>
              <a:t> </a:t>
            </a:r>
            <a:r>
              <a:rPr lang="en-US" sz="2800" b="0" baseline="0" dirty="0" err="1" smtClean="0">
                <a:solidFill>
                  <a:schemeClr val="tx1"/>
                </a:solidFill>
                <a:latin typeface="Sylfaen" panose="010A0502050306030303" pitchFamily="18" charset="0"/>
              </a:rPr>
              <a:t>Կոնվենցիան</a:t>
            </a:r>
            <a:r>
              <a:rPr lang="en-US" sz="2800" b="0" baseline="0" dirty="0" smtClean="0">
                <a:solidFill>
                  <a:schemeClr val="tx1"/>
                </a:solidFill>
                <a:latin typeface="Sylfaen" panose="010A0502050306030303" pitchFamily="18" charset="0"/>
              </a:rPr>
              <a:t> </a:t>
            </a:r>
            <a:r>
              <a:rPr lang="en-US" sz="2800" b="0" baseline="0" dirty="0" err="1" smtClean="0">
                <a:solidFill>
                  <a:schemeClr val="tx1"/>
                </a:solidFill>
                <a:latin typeface="Sylfaen" panose="010A0502050306030303" pitchFamily="18" charset="0"/>
              </a:rPr>
              <a:t>որպես</a:t>
            </a:r>
            <a:r>
              <a:rPr lang="en-US" sz="2800" b="0" baseline="0" dirty="0" smtClean="0">
                <a:solidFill>
                  <a:schemeClr val="tx1"/>
                </a:solidFill>
                <a:latin typeface="Sylfaen" panose="010A0502050306030303" pitchFamily="18" charset="0"/>
              </a:rPr>
              <a:t> </a:t>
            </a:r>
            <a:r>
              <a:rPr lang="en-US" sz="2800" b="0" baseline="0" dirty="0" err="1" smtClean="0">
                <a:solidFill>
                  <a:schemeClr val="tx1"/>
                </a:solidFill>
                <a:latin typeface="Sylfaen" panose="010A0502050306030303" pitchFamily="18" charset="0"/>
              </a:rPr>
              <a:t>ուղեցույց</a:t>
            </a:r>
            <a:r>
              <a:rPr lang="en-US" sz="2800" b="0" baseline="0" dirty="0" smtClean="0">
                <a:solidFill>
                  <a:schemeClr val="tx1"/>
                </a:solidFill>
                <a:latin typeface="Sylfaen" panose="010A0502050306030303" pitchFamily="18" charset="0"/>
              </a:rPr>
              <a:t> </a:t>
            </a:r>
            <a:r>
              <a:rPr lang="en-US" sz="2800" b="0" baseline="0" dirty="0" err="1" smtClean="0">
                <a:solidFill>
                  <a:schemeClr val="tx1"/>
                </a:solidFill>
                <a:latin typeface="Sylfaen" panose="010A0502050306030303" pitchFamily="18" charset="0"/>
              </a:rPr>
              <a:t>են</a:t>
            </a:r>
            <a:r>
              <a:rPr lang="en-US" sz="2800" b="0" baseline="0" dirty="0" smtClean="0">
                <a:solidFill>
                  <a:schemeClr val="tx1"/>
                </a:solidFill>
                <a:latin typeface="Sylfaen" panose="010A0502050306030303" pitchFamily="18" charset="0"/>
              </a:rPr>
              <a:t> </a:t>
            </a:r>
            <a:r>
              <a:rPr lang="en-US" sz="2800" b="0" baseline="0" dirty="0" err="1" smtClean="0">
                <a:solidFill>
                  <a:schemeClr val="tx1"/>
                </a:solidFill>
                <a:latin typeface="Sylfaen" panose="010A0502050306030303" pitchFamily="18" charset="0"/>
              </a:rPr>
              <a:t>օգտագործել</a:t>
            </a:r>
            <a:endParaRPr lang="en-US" sz="2800" b="0" dirty="0">
              <a:solidFill>
                <a:schemeClr val="tx1"/>
              </a:solidFill>
              <a:latin typeface="Sylfaen" panose="010A0502050306030303" pitchFamily="18" charset="0"/>
            </a:endParaRPr>
          </a:p>
        </c:rich>
      </c:tx>
      <c:layout>
        <c:manualLayout>
          <c:xMode val="edge"/>
          <c:yMode val="edge"/>
          <c:x val="0.11220833333333333"/>
          <c:y val="4.38555438732642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62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Sylfaen" panose="010A0502050306030303" pitchFamily="18" charset="0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C7EE-44C9-B158-AF584BE8AC10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7EE-44C9-B158-AF584BE8AC1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overflow" horzOverflow="overflow" vert="horz" wrap="square" lIns="38100" tIns="19050" rIns="38100" bIns="19050" anchor="ctr" anchorCtr="0">
                <a:spAutoFit/>
              </a:bodyPr>
              <a:lstStyle/>
              <a:p>
                <a:pPr>
                  <a:defRPr sz="20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Sheet1!$A$2:$A$3</c:f>
              <c:strCache>
                <c:ptCount val="2"/>
                <c:pt idx="0">
                  <c:v>States which used BC as guideline for reform</c:v>
                </c:pt>
                <c:pt idx="1">
                  <c:v>States which did not use BC as guideline for reform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153</c:v>
                </c:pt>
                <c:pt idx="1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7EE-44C9-B158-AF584BE8AC1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3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2021-05-15T08:18:00Z</dcterms:created>
  <dcterms:modified xsi:type="dcterms:W3CDTF">2021-05-15T08:20:00Z</dcterms:modified>
</cp:coreProperties>
</file>